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D2241" w14:textId="77777777" w:rsidR="00D22D3E" w:rsidRDefault="00D22D3E" w:rsidP="00D22D3E">
      <w:pPr>
        <w:spacing w:line="360" w:lineRule="auto"/>
        <w:jc w:val="center"/>
        <w:rPr>
          <w:rFonts w:ascii="Times New Roman" w:hAnsi="Times New Roman" w:cs="Times New Roman"/>
          <w:sz w:val="24"/>
          <w:szCs w:val="24"/>
        </w:rPr>
      </w:pPr>
    </w:p>
    <w:p w14:paraId="5D670D6E" w14:textId="77777777" w:rsidR="00D22D3E" w:rsidRDefault="00D22D3E" w:rsidP="00D22D3E">
      <w:pPr>
        <w:spacing w:line="360" w:lineRule="auto"/>
        <w:jc w:val="center"/>
        <w:rPr>
          <w:rFonts w:ascii="Times New Roman" w:hAnsi="Times New Roman" w:cs="Times New Roman"/>
          <w:sz w:val="24"/>
          <w:szCs w:val="24"/>
        </w:rPr>
      </w:pPr>
    </w:p>
    <w:p w14:paraId="6D3B7CE9" w14:textId="77777777" w:rsidR="00D22D3E" w:rsidRDefault="00D22D3E" w:rsidP="00D22D3E">
      <w:pPr>
        <w:spacing w:line="360" w:lineRule="auto"/>
        <w:jc w:val="center"/>
        <w:rPr>
          <w:rFonts w:ascii="Times New Roman" w:hAnsi="Times New Roman" w:cs="Times New Roman"/>
          <w:sz w:val="24"/>
          <w:szCs w:val="24"/>
        </w:rPr>
      </w:pPr>
    </w:p>
    <w:p w14:paraId="468F82D3" w14:textId="77777777" w:rsidR="00D22D3E" w:rsidRDefault="00D22D3E" w:rsidP="00D22D3E">
      <w:pPr>
        <w:spacing w:line="360" w:lineRule="auto"/>
        <w:jc w:val="center"/>
        <w:rPr>
          <w:rFonts w:ascii="Times New Roman" w:hAnsi="Times New Roman" w:cs="Times New Roman"/>
          <w:sz w:val="24"/>
          <w:szCs w:val="24"/>
        </w:rPr>
      </w:pPr>
    </w:p>
    <w:p w14:paraId="6A06913B" w14:textId="77777777" w:rsidR="00D22D3E" w:rsidRDefault="00D22D3E" w:rsidP="00D22D3E">
      <w:pPr>
        <w:spacing w:line="360" w:lineRule="auto"/>
        <w:jc w:val="center"/>
        <w:rPr>
          <w:rFonts w:ascii="Times New Roman" w:hAnsi="Times New Roman" w:cs="Times New Roman"/>
          <w:sz w:val="24"/>
          <w:szCs w:val="24"/>
        </w:rPr>
      </w:pPr>
    </w:p>
    <w:p w14:paraId="3EACD87F" w14:textId="0A9AA708" w:rsidR="003D16A1" w:rsidRPr="00D22D3E" w:rsidRDefault="00D07AEA" w:rsidP="00D22D3E">
      <w:pPr>
        <w:spacing w:line="360" w:lineRule="auto"/>
        <w:jc w:val="center"/>
        <w:rPr>
          <w:rFonts w:ascii="Times New Roman" w:hAnsi="Times New Roman" w:cs="Times New Roman"/>
          <w:sz w:val="24"/>
          <w:szCs w:val="24"/>
        </w:rPr>
      </w:pPr>
      <w:r w:rsidRPr="00D22D3E">
        <w:rPr>
          <w:rFonts w:ascii="Times New Roman" w:hAnsi="Times New Roman" w:cs="Times New Roman"/>
          <w:sz w:val="24"/>
          <w:szCs w:val="24"/>
        </w:rPr>
        <w:t>Comprehensive H&amp;P Guidelines</w:t>
      </w:r>
    </w:p>
    <w:p w14:paraId="2EC52981" w14:textId="35F37C83" w:rsidR="00D22D3E" w:rsidRPr="00D22D3E" w:rsidRDefault="00D22D3E" w:rsidP="00D22D3E">
      <w:pPr>
        <w:spacing w:line="360" w:lineRule="auto"/>
        <w:jc w:val="center"/>
        <w:rPr>
          <w:rFonts w:ascii="Times New Roman" w:hAnsi="Times New Roman" w:cs="Times New Roman"/>
          <w:sz w:val="24"/>
          <w:szCs w:val="24"/>
        </w:rPr>
      </w:pPr>
      <w:r w:rsidRPr="00D22D3E">
        <w:rPr>
          <w:rFonts w:ascii="Times New Roman" w:hAnsi="Times New Roman" w:cs="Times New Roman"/>
          <w:sz w:val="24"/>
          <w:szCs w:val="24"/>
        </w:rPr>
        <w:t>[Name]</w:t>
      </w:r>
    </w:p>
    <w:p w14:paraId="1CE49D8D" w14:textId="486CCB20" w:rsidR="00D22D3E" w:rsidRPr="00D22D3E" w:rsidRDefault="00D22D3E" w:rsidP="00D22D3E">
      <w:pPr>
        <w:spacing w:line="360" w:lineRule="auto"/>
        <w:jc w:val="center"/>
        <w:rPr>
          <w:rFonts w:ascii="Times New Roman" w:hAnsi="Times New Roman" w:cs="Times New Roman"/>
          <w:sz w:val="24"/>
          <w:szCs w:val="24"/>
        </w:rPr>
      </w:pPr>
      <w:r w:rsidRPr="00D22D3E">
        <w:rPr>
          <w:rFonts w:ascii="Times New Roman" w:hAnsi="Times New Roman" w:cs="Times New Roman"/>
          <w:sz w:val="24"/>
          <w:szCs w:val="24"/>
        </w:rPr>
        <w:t>[Institution affiliation]</w:t>
      </w:r>
    </w:p>
    <w:p w14:paraId="0DCBC8D7" w14:textId="237FC179" w:rsidR="00D22D3E" w:rsidRPr="00D22D3E" w:rsidRDefault="00D22D3E" w:rsidP="00D22D3E">
      <w:pPr>
        <w:spacing w:line="360" w:lineRule="auto"/>
        <w:jc w:val="center"/>
        <w:rPr>
          <w:rFonts w:ascii="Times New Roman" w:hAnsi="Times New Roman" w:cs="Times New Roman"/>
          <w:sz w:val="24"/>
          <w:szCs w:val="24"/>
        </w:rPr>
      </w:pPr>
      <w:r w:rsidRPr="00D22D3E">
        <w:rPr>
          <w:rFonts w:ascii="Times New Roman" w:hAnsi="Times New Roman" w:cs="Times New Roman"/>
          <w:sz w:val="24"/>
          <w:szCs w:val="24"/>
        </w:rPr>
        <w:t>[Course]</w:t>
      </w:r>
    </w:p>
    <w:p w14:paraId="405D03A0" w14:textId="63DDF6B1" w:rsidR="00D22D3E" w:rsidRPr="00D22D3E" w:rsidRDefault="00D22D3E" w:rsidP="00D22D3E">
      <w:pPr>
        <w:spacing w:line="360" w:lineRule="auto"/>
        <w:jc w:val="center"/>
        <w:rPr>
          <w:rFonts w:ascii="Times New Roman" w:hAnsi="Times New Roman" w:cs="Times New Roman"/>
          <w:sz w:val="24"/>
          <w:szCs w:val="24"/>
        </w:rPr>
      </w:pPr>
      <w:r w:rsidRPr="00D22D3E">
        <w:rPr>
          <w:rFonts w:ascii="Times New Roman" w:hAnsi="Times New Roman" w:cs="Times New Roman"/>
          <w:sz w:val="24"/>
          <w:szCs w:val="24"/>
        </w:rPr>
        <w:t>[Date]</w:t>
      </w:r>
    </w:p>
    <w:p w14:paraId="73E33909" w14:textId="77777777" w:rsidR="00D22D3E" w:rsidRDefault="00D22D3E" w:rsidP="00D22D3E">
      <w:pPr>
        <w:spacing w:line="360" w:lineRule="auto"/>
        <w:rPr>
          <w:rFonts w:ascii="Times New Roman" w:hAnsi="Times New Roman" w:cs="Times New Roman"/>
          <w:sz w:val="24"/>
          <w:szCs w:val="24"/>
        </w:rPr>
      </w:pPr>
    </w:p>
    <w:p w14:paraId="542DBF1E" w14:textId="77777777" w:rsidR="00D22D3E" w:rsidRDefault="00D22D3E" w:rsidP="00D22D3E">
      <w:pPr>
        <w:spacing w:line="360" w:lineRule="auto"/>
        <w:rPr>
          <w:rFonts w:ascii="Times New Roman" w:hAnsi="Times New Roman" w:cs="Times New Roman"/>
          <w:sz w:val="24"/>
          <w:szCs w:val="24"/>
        </w:rPr>
      </w:pPr>
    </w:p>
    <w:p w14:paraId="62E70E28" w14:textId="77777777" w:rsidR="00D22D3E" w:rsidRDefault="00D22D3E" w:rsidP="00D22D3E">
      <w:pPr>
        <w:spacing w:line="360" w:lineRule="auto"/>
        <w:rPr>
          <w:rFonts w:ascii="Times New Roman" w:hAnsi="Times New Roman" w:cs="Times New Roman"/>
          <w:sz w:val="24"/>
          <w:szCs w:val="24"/>
        </w:rPr>
      </w:pPr>
    </w:p>
    <w:p w14:paraId="6FC2D624" w14:textId="77777777" w:rsidR="00D22D3E" w:rsidRDefault="00D22D3E" w:rsidP="00D22D3E">
      <w:pPr>
        <w:spacing w:line="360" w:lineRule="auto"/>
        <w:rPr>
          <w:rFonts w:ascii="Times New Roman" w:hAnsi="Times New Roman" w:cs="Times New Roman"/>
          <w:sz w:val="24"/>
          <w:szCs w:val="24"/>
        </w:rPr>
      </w:pPr>
    </w:p>
    <w:p w14:paraId="6C46A3B7" w14:textId="77777777" w:rsidR="00D22D3E" w:rsidRDefault="00D22D3E" w:rsidP="00D22D3E">
      <w:pPr>
        <w:spacing w:line="360" w:lineRule="auto"/>
        <w:rPr>
          <w:rFonts w:ascii="Times New Roman" w:hAnsi="Times New Roman" w:cs="Times New Roman"/>
          <w:sz w:val="24"/>
          <w:szCs w:val="24"/>
        </w:rPr>
      </w:pPr>
    </w:p>
    <w:p w14:paraId="3AB1DB8A" w14:textId="77777777" w:rsidR="00D22D3E" w:rsidRDefault="00D22D3E" w:rsidP="00D22D3E">
      <w:pPr>
        <w:spacing w:line="360" w:lineRule="auto"/>
        <w:rPr>
          <w:rFonts w:ascii="Times New Roman" w:hAnsi="Times New Roman" w:cs="Times New Roman"/>
          <w:sz w:val="24"/>
          <w:szCs w:val="24"/>
        </w:rPr>
      </w:pPr>
    </w:p>
    <w:p w14:paraId="37513C10" w14:textId="77777777" w:rsidR="00D22D3E" w:rsidRDefault="00D22D3E" w:rsidP="00D22D3E">
      <w:pPr>
        <w:spacing w:line="360" w:lineRule="auto"/>
        <w:rPr>
          <w:rFonts w:ascii="Times New Roman" w:hAnsi="Times New Roman" w:cs="Times New Roman"/>
          <w:sz w:val="24"/>
          <w:szCs w:val="24"/>
        </w:rPr>
      </w:pPr>
    </w:p>
    <w:p w14:paraId="60378AAA" w14:textId="77777777" w:rsidR="00D22D3E" w:rsidRDefault="00D22D3E" w:rsidP="00D22D3E">
      <w:pPr>
        <w:spacing w:line="360" w:lineRule="auto"/>
        <w:rPr>
          <w:rFonts w:ascii="Times New Roman" w:hAnsi="Times New Roman" w:cs="Times New Roman"/>
          <w:sz w:val="24"/>
          <w:szCs w:val="24"/>
        </w:rPr>
      </w:pPr>
    </w:p>
    <w:p w14:paraId="2D85A1BC" w14:textId="77777777" w:rsidR="00D22D3E" w:rsidRDefault="00D22D3E" w:rsidP="00D22D3E">
      <w:pPr>
        <w:spacing w:line="360" w:lineRule="auto"/>
        <w:rPr>
          <w:rFonts w:ascii="Times New Roman" w:hAnsi="Times New Roman" w:cs="Times New Roman"/>
          <w:sz w:val="24"/>
          <w:szCs w:val="24"/>
        </w:rPr>
      </w:pPr>
    </w:p>
    <w:p w14:paraId="128EFF72" w14:textId="77777777" w:rsidR="00D22D3E" w:rsidRDefault="00D22D3E" w:rsidP="00D22D3E">
      <w:pPr>
        <w:spacing w:line="360" w:lineRule="auto"/>
        <w:rPr>
          <w:rFonts w:ascii="Times New Roman" w:hAnsi="Times New Roman" w:cs="Times New Roman"/>
          <w:sz w:val="24"/>
          <w:szCs w:val="24"/>
        </w:rPr>
      </w:pPr>
    </w:p>
    <w:p w14:paraId="460BDD92" w14:textId="77777777" w:rsidR="00D22D3E" w:rsidRDefault="00D22D3E" w:rsidP="00D22D3E">
      <w:pPr>
        <w:spacing w:line="360" w:lineRule="auto"/>
        <w:rPr>
          <w:rFonts w:ascii="Times New Roman" w:hAnsi="Times New Roman" w:cs="Times New Roman"/>
          <w:sz w:val="24"/>
          <w:szCs w:val="24"/>
        </w:rPr>
      </w:pPr>
    </w:p>
    <w:p w14:paraId="413273CF" w14:textId="77777777" w:rsidR="00D22D3E" w:rsidRDefault="00D22D3E" w:rsidP="00D22D3E">
      <w:pPr>
        <w:spacing w:line="360" w:lineRule="auto"/>
        <w:rPr>
          <w:rFonts w:ascii="Times New Roman" w:hAnsi="Times New Roman" w:cs="Times New Roman"/>
          <w:sz w:val="24"/>
          <w:szCs w:val="24"/>
        </w:rPr>
      </w:pPr>
    </w:p>
    <w:p w14:paraId="4ABEDC13" w14:textId="503FF8A3" w:rsidR="00D07AEA" w:rsidRPr="00D22D3E" w:rsidRDefault="00353875" w:rsidP="00D22D3E">
      <w:pPr>
        <w:spacing w:line="360" w:lineRule="auto"/>
        <w:jc w:val="both"/>
        <w:rPr>
          <w:rFonts w:ascii="Times New Roman" w:hAnsi="Times New Roman" w:cs="Times New Roman"/>
          <w:sz w:val="24"/>
          <w:szCs w:val="24"/>
        </w:rPr>
      </w:pPr>
      <w:r w:rsidRPr="00D22D3E">
        <w:rPr>
          <w:rFonts w:ascii="Times New Roman" w:hAnsi="Times New Roman" w:cs="Times New Roman"/>
          <w:sz w:val="24"/>
          <w:szCs w:val="24"/>
        </w:rPr>
        <w:lastRenderedPageBreak/>
        <w:t>Research shows that every service level and visit category has corresponding documentation needs. As a result, choosing an evaluation &amp; management (E/M) level depends on two significant elements: 1) the three “key” aspects’ content, including history, examination, and making decisions, or 2) time- specifically when coordinating care or counseling occupies over 50% of the total visit time by the physician</w:t>
      </w:r>
      <w:r w:rsidR="002D0BDB" w:rsidRPr="00D22D3E">
        <w:rPr>
          <w:rFonts w:ascii="Times New Roman" w:hAnsi="Times New Roman" w:cs="Times New Roman"/>
          <w:sz w:val="24"/>
          <w:szCs w:val="24"/>
        </w:rPr>
        <w:t xml:space="preserve"> </w:t>
      </w:r>
      <w:bookmarkStart w:id="0" w:name="_Hlk39032561"/>
      <w:r w:rsidR="002D0BDB" w:rsidRPr="00D22D3E">
        <w:rPr>
          <w:rFonts w:ascii="Times New Roman" w:hAnsi="Times New Roman" w:cs="Times New Roman"/>
          <w:sz w:val="24"/>
          <w:szCs w:val="24"/>
        </w:rPr>
        <w:t>(</w:t>
      </w:r>
      <w:r w:rsidR="002D0BDB" w:rsidRPr="00D22D3E">
        <w:rPr>
          <w:rFonts w:ascii="Times New Roman" w:hAnsi="Times New Roman" w:cs="Times New Roman"/>
          <w:sz w:val="24"/>
          <w:szCs w:val="24"/>
        </w:rPr>
        <w:t>Centers for Medicare &amp; Medicaid Services</w:t>
      </w:r>
      <w:r w:rsidR="002D0BDB" w:rsidRPr="00D22D3E">
        <w:rPr>
          <w:rFonts w:ascii="Times New Roman" w:hAnsi="Times New Roman" w:cs="Times New Roman"/>
          <w:sz w:val="24"/>
          <w:szCs w:val="24"/>
        </w:rPr>
        <w:t xml:space="preserve">, </w:t>
      </w:r>
      <w:r w:rsidR="002D0BDB" w:rsidRPr="00D22D3E">
        <w:rPr>
          <w:rFonts w:ascii="Times New Roman" w:hAnsi="Times New Roman" w:cs="Times New Roman"/>
          <w:sz w:val="24"/>
          <w:szCs w:val="24"/>
        </w:rPr>
        <w:t>1997)</w:t>
      </w:r>
      <w:r w:rsidR="002D0BDB" w:rsidRPr="00D22D3E">
        <w:rPr>
          <w:rFonts w:ascii="Times New Roman" w:hAnsi="Times New Roman" w:cs="Times New Roman"/>
          <w:sz w:val="24"/>
          <w:szCs w:val="24"/>
        </w:rPr>
        <w:t xml:space="preserve">. </w:t>
      </w:r>
      <w:bookmarkEnd w:id="0"/>
      <w:r w:rsidRPr="00D22D3E">
        <w:rPr>
          <w:rFonts w:ascii="Times New Roman" w:hAnsi="Times New Roman" w:cs="Times New Roman"/>
          <w:sz w:val="24"/>
          <w:szCs w:val="24"/>
        </w:rPr>
        <w:t xml:space="preserve">Therefore, if one fails to document any essential aspect in a visit level may lead to service denial or down coding and it is good to be aware about what is expected by an auditor, especially when evaluating the key element of “history”. </w:t>
      </w:r>
    </w:p>
    <w:p w14:paraId="54059279" w14:textId="7C42F388" w:rsidR="00353875" w:rsidRPr="00D22D3E" w:rsidRDefault="00353875" w:rsidP="00D22D3E">
      <w:pPr>
        <w:spacing w:line="360" w:lineRule="auto"/>
        <w:jc w:val="both"/>
        <w:rPr>
          <w:rFonts w:ascii="Times New Roman" w:hAnsi="Times New Roman" w:cs="Times New Roman"/>
          <w:sz w:val="24"/>
          <w:szCs w:val="24"/>
        </w:rPr>
      </w:pPr>
      <w:r w:rsidRPr="00D22D3E">
        <w:rPr>
          <w:rFonts w:ascii="Times New Roman" w:hAnsi="Times New Roman" w:cs="Times New Roman"/>
          <w:sz w:val="24"/>
          <w:szCs w:val="24"/>
        </w:rPr>
        <w:t xml:space="preserve">Given the comprehensive H&amp;P documentation for </w:t>
      </w:r>
      <w:r w:rsidR="00F34D69" w:rsidRPr="00D22D3E">
        <w:rPr>
          <w:rFonts w:ascii="Times New Roman" w:hAnsi="Times New Roman" w:cs="Times New Roman"/>
          <w:sz w:val="24"/>
          <w:szCs w:val="24"/>
        </w:rPr>
        <w:t xml:space="preserve">Anne Smith in this case, I do not think that the documentation fully meets the CMS documentation guidelines because of </w:t>
      </w:r>
      <w:r w:rsidR="00056BF8" w:rsidRPr="00D22D3E">
        <w:rPr>
          <w:rFonts w:ascii="Times New Roman" w:hAnsi="Times New Roman" w:cs="Times New Roman"/>
          <w:sz w:val="24"/>
          <w:szCs w:val="24"/>
        </w:rPr>
        <w:t>a significant</w:t>
      </w:r>
      <w:r w:rsidR="00F34D69" w:rsidRPr="00D22D3E">
        <w:rPr>
          <w:rFonts w:ascii="Times New Roman" w:hAnsi="Times New Roman" w:cs="Times New Roman"/>
          <w:sz w:val="24"/>
          <w:szCs w:val="24"/>
        </w:rPr>
        <w:t xml:space="preserve"> aspect. Studies suggest that a clear as well as a concise documentation of a medical record is essential to offering patients with the required quality care for the care provider to receive both timely and accurate payment of furnished services</w:t>
      </w:r>
      <w:r w:rsidR="002D0BDB" w:rsidRPr="00D22D3E">
        <w:rPr>
          <w:rFonts w:ascii="Times New Roman" w:hAnsi="Times New Roman" w:cs="Times New Roman"/>
          <w:sz w:val="24"/>
          <w:szCs w:val="24"/>
        </w:rPr>
        <w:t xml:space="preserve"> </w:t>
      </w:r>
      <w:r w:rsidR="002D0BDB" w:rsidRPr="00D22D3E">
        <w:rPr>
          <w:rFonts w:ascii="Times New Roman" w:hAnsi="Times New Roman" w:cs="Times New Roman"/>
          <w:sz w:val="24"/>
          <w:szCs w:val="24"/>
        </w:rPr>
        <w:t xml:space="preserve">(Centers for Medicare &amp; Medicaid Services, 1997). </w:t>
      </w:r>
      <w:r w:rsidR="00F34D69" w:rsidRPr="00D22D3E">
        <w:rPr>
          <w:rFonts w:ascii="Times New Roman" w:hAnsi="Times New Roman" w:cs="Times New Roman"/>
          <w:sz w:val="24"/>
          <w:szCs w:val="24"/>
        </w:rPr>
        <w:t>Notably, a complete medical documentation chronologically reports the received care by a patient by recording pertinent facts, finding, &amp; observations concerning the health history of a patient</w:t>
      </w:r>
      <w:r w:rsidR="00A839CD" w:rsidRPr="00D22D3E">
        <w:rPr>
          <w:rFonts w:ascii="Times New Roman" w:hAnsi="Times New Roman" w:cs="Times New Roman"/>
          <w:sz w:val="24"/>
          <w:szCs w:val="24"/>
        </w:rPr>
        <w:t xml:space="preserve"> to help in contributing to high quality care. </w:t>
      </w:r>
      <w:r w:rsidR="00056BF8" w:rsidRPr="00D22D3E">
        <w:rPr>
          <w:rFonts w:ascii="Times New Roman" w:hAnsi="Times New Roman" w:cs="Times New Roman"/>
          <w:sz w:val="24"/>
          <w:szCs w:val="24"/>
        </w:rPr>
        <w:t xml:space="preserve">All other documentation aspects are perfect but the report lacks supportive diagnosis &amp; treatment codes. For example, J45.41 could be useful as a specific billing code to indicate Moderate persistent asthma with (acute) exacerbation. Without the codes, the medical report does not specify the appropriate risk factors, rather it talks in general. </w:t>
      </w:r>
    </w:p>
    <w:p w14:paraId="12C89750" w14:textId="06304425" w:rsidR="00B56DBC" w:rsidRPr="00D22D3E" w:rsidRDefault="00B56DBC" w:rsidP="00D22D3E">
      <w:pPr>
        <w:spacing w:line="360" w:lineRule="auto"/>
        <w:jc w:val="both"/>
        <w:rPr>
          <w:rFonts w:ascii="Times New Roman" w:hAnsi="Times New Roman" w:cs="Times New Roman"/>
          <w:sz w:val="24"/>
          <w:szCs w:val="24"/>
        </w:rPr>
      </w:pPr>
      <w:r w:rsidRPr="00D22D3E">
        <w:rPr>
          <w:rFonts w:ascii="Times New Roman" w:hAnsi="Times New Roman" w:cs="Times New Roman"/>
          <w:sz w:val="24"/>
          <w:szCs w:val="24"/>
        </w:rPr>
        <w:t>Ms. Smith’s H&amp;P documentation has both strengths and weaknesses, and that is why I feel that the documentation does not fully adhere to the medical record documentation’s general principles. Talking of strengths, the patient encounter’s documentation clearly specifies the encountering reason as well as the relevant history, findings from the physical examination, and previous diagnostic test status. Additionally, the medical documentation involves an assessment as well as a clinical impression, plans for care, and both a date and a</w:t>
      </w:r>
      <w:r w:rsidR="009C76BB" w:rsidRPr="00D22D3E">
        <w:rPr>
          <w:rFonts w:ascii="Times New Roman" w:hAnsi="Times New Roman" w:cs="Times New Roman"/>
          <w:sz w:val="24"/>
          <w:szCs w:val="24"/>
        </w:rPr>
        <w:t>n observer’s</w:t>
      </w:r>
      <w:r w:rsidRPr="00D22D3E">
        <w:rPr>
          <w:rFonts w:ascii="Times New Roman" w:hAnsi="Times New Roman" w:cs="Times New Roman"/>
          <w:sz w:val="24"/>
          <w:szCs w:val="24"/>
        </w:rPr>
        <w:t xml:space="preserve"> legible identity</w:t>
      </w:r>
      <w:r w:rsidR="00D22D3E" w:rsidRPr="00D22D3E">
        <w:rPr>
          <w:rFonts w:ascii="Times New Roman" w:hAnsi="Times New Roman" w:cs="Times New Roman"/>
          <w:sz w:val="24"/>
          <w:szCs w:val="24"/>
        </w:rPr>
        <w:t xml:space="preserve"> </w:t>
      </w:r>
      <w:r w:rsidR="00D22D3E" w:rsidRPr="00D22D3E">
        <w:rPr>
          <w:rFonts w:ascii="Times New Roman" w:hAnsi="Times New Roman" w:cs="Times New Roman"/>
          <w:sz w:val="24"/>
          <w:szCs w:val="24"/>
        </w:rPr>
        <w:t>(</w:t>
      </w:r>
      <w:r w:rsidR="00D22D3E" w:rsidRPr="00D22D3E">
        <w:rPr>
          <w:rFonts w:ascii="Times New Roman" w:hAnsi="Times New Roman" w:cs="Times New Roman"/>
          <w:color w:val="000000" w:themeColor="text1"/>
          <w:sz w:val="24"/>
          <w:szCs w:val="24"/>
        </w:rPr>
        <w:t>American Medical Association, 2019).</w:t>
      </w:r>
      <w:r w:rsidR="009C76BB" w:rsidRPr="00D22D3E">
        <w:rPr>
          <w:rFonts w:ascii="Times New Roman" w:hAnsi="Times New Roman" w:cs="Times New Roman"/>
          <w:sz w:val="24"/>
          <w:szCs w:val="24"/>
        </w:rPr>
        <w:t xml:space="preserve">On the other hand, however, Ms. Smith’s medical documentation involves </w:t>
      </w:r>
      <w:r w:rsidR="00056BF8" w:rsidRPr="00D22D3E">
        <w:rPr>
          <w:rFonts w:ascii="Times New Roman" w:hAnsi="Times New Roman" w:cs="Times New Roman"/>
          <w:sz w:val="24"/>
          <w:szCs w:val="24"/>
        </w:rPr>
        <w:t>one</w:t>
      </w:r>
      <w:r w:rsidR="009C76BB" w:rsidRPr="00D22D3E">
        <w:rPr>
          <w:rFonts w:ascii="Times New Roman" w:hAnsi="Times New Roman" w:cs="Times New Roman"/>
          <w:sz w:val="24"/>
          <w:szCs w:val="24"/>
        </w:rPr>
        <w:t xml:space="preserve"> </w:t>
      </w:r>
      <w:r w:rsidR="00056BF8" w:rsidRPr="00D22D3E">
        <w:rPr>
          <w:rFonts w:ascii="Times New Roman" w:hAnsi="Times New Roman" w:cs="Times New Roman"/>
          <w:sz w:val="24"/>
          <w:szCs w:val="24"/>
        </w:rPr>
        <w:t>weakness</w:t>
      </w:r>
      <w:r w:rsidR="009C76BB" w:rsidRPr="00D22D3E">
        <w:rPr>
          <w:rFonts w:ascii="Times New Roman" w:hAnsi="Times New Roman" w:cs="Times New Roman"/>
          <w:sz w:val="24"/>
          <w:szCs w:val="24"/>
        </w:rPr>
        <w:t xml:space="preserve"> that make it not to be fully adhering to the CMS standards. </w:t>
      </w:r>
      <w:r w:rsidR="00056BF8" w:rsidRPr="00D22D3E">
        <w:rPr>
          <w:rFonts w:ascii="Times New Roman" w:hAnsi="Times New Roman" w:cs="Times New Roman"/>
          <w:sz w:val="24"/>
          <w:szCs w:val="24"/>
        </w:rPr>
        <w:t>Therefore</w:t>
      </w:r>
      <w:r w:rsidR="009C76BB" w:rsidRPr="00D22D3E">
        <w:rPr>
          <w:rFonts w:ascii="Times New Roman" w:hAnsi="Times New Roman" w:cs="Times New Roman"/>
          <w:sz w:val="24"/>
          <w:szCs w:val="24"/>
        </w:rPr>
        <w:t xml:space="preserve">, the most significant weakness is the fact that the documentation omits the ICD-10 codes that are reported on the billing statement or the health insurance claim document. Such codes are not supported by the medical record documentation. As a result, the ordering diagnostic as well as the </w:t>
      </w:r>
      <w:r w:rsidR="009C76BB" w:rsidRPr="00D22D3E">
        <w:rPr>
          <w:rFonts w:ascii="Times New Roman" w:hAnsi="Times New Roman" w:cs="Times New Roman"/>
          <w:sz w:val="24"/>
          <w:szCs w:val="24"/>
        </w:rPr>
        <w:lastRenderedPageBreak/>
        <w:t>other ancillary services’ rationale is difficultly inferred. Moreover,</w:t>
      </w:r>
      <w:r w:rsidR="00056BF8" w:rsidRPr="00D22D3E">
        <w:rPr>
          <w:rFonts w:ascii="Times New Roman" w:hAnsi="Times New Roman" w:cs="Times New Roman"/>
          <w:sz w:val="24"/>
          <w:szCs w:val="24"/>
        </w:rPr>
        <w:t xml:space="preserve"> I think that the medical report is not accurate </w:t>
      </w:r>
      <w:r w:rsidR="00117980" w:rsidRPr="00D22D3E">
        <w:rPr>
          <w:rFonts w:ascii="Times New Roman" w:hAnsi="Times New Roman" w:cs="Times New Roman"/>
          <w:sz w:val="24"/>
          <w:szCs w:val="24"/>
        </w:rPr>
        <w:t>since the services are documented two weeks after the encounter and also listed as practicable after six months. An accurate medical record is considered to document the services during the encounter and as soon as practicable after the encounter, and this makes 2 weeks and 6 months after altering the observations</w:t>
      </w:r>
      <w:r w:rsidR="00D22D3E" w:rsidRPr="00D22D3E">
        <w:rPr>
          <w:rFonts w:ascii="Times New Roman" w:hAnsi="Times New Roman" w:cs="Times New Roman"/>
          <w:sz w:val="24"/>
          <w:szCs w:val="24"/>
        </w:rPr>
        <w:t xml:space="preserve"> </w:t>
      </w:r>
      <w:r w:rsidR="00D22D3E" w:rsidRPr="00D22D3E">
        <w:rPr>
          <w:rFonts w:ascii="Times New Roman" w:hAnsi="Times New Roman" w:cs="Times New Roman"/>
          <w:sz w:val="24"/>
          <w:szCs w:val="24"/>
        </w:rPr>
        <w:t>(</w:t>
      </w:r>
      <w:r w:rsidR="00D22D3E" w:rsidRPr="00D22D3E">
        <w:rPr>
          <w:rFonts w:ascii="Times New Roman" w:hAnsi="Times New Roman" w:cs="Times New Roman"/>
          <w:color w:val="000000" w:themeColor="text1"/>
          <w:sz w:val="24"/>
          <w:szCs w:val="24"/>
        </w:rPr>
        <w:t>American Medical Association, 2019).</w:t>
      </w:r>
    </w:p>
    <w:p w14:paraId="0DD5AA24" w14:textId="15247F13" w:rsidR="00117980" w:rsidRPr="00D22D3E" w:rsidRDefault="00117980" w:rsidP="00D22D3E">
      <w:pPr>
        <w:spacing w:line="360" w:lineRule="auto"/>
        <w:jc w:val="both"/>
        <w:rPr>
          <w:rFonts w:ascii="Times New Roman" w:hAnsi="Times New Roman" w:cs="Times New Roman"/>
          <w:sz w:val="24"/>
          <w:szCs w:val="24"/>
        </w:rPr>
      </w:pPr>
      <w:r w:rsidRPr="00D22D3E">
        <w:rPr>
          <w:rFonts w:ascii="Times New Roman" w:hAnsi="Times New Roman" w:cs="Times New Roman"/>
          <w:sz w:val="24"/>
          <w:szCs w:val="24"/>
        </w:rPr>
        <w:t xml:space="preserve">I had a significant question after reading Ms. Smith’s H&amp;P regarding whether </w:t>
      </w:r>
      <w:r w:rsidR="00086194" w:rsidRPr="00D22D3E">
        <w:rPr>
          <w:rFonts w:ascii="Times New Roman" w:hAnsi="Times New Roman" w:cs="Times New Roman"/>
          <w:sz w:val="24"/>
          <w:szCs w:val="24"/>
        </w:rPr>
        <w:t xml:space="preserve">the service provider revised the medical report to see if the health care payer needed a reasonable documentation in ensuring that the service was consistent with Ms. Smith’s insurance coverage. Were the furnished services accurately reported? Where was the site of service? Was the medical significance as well as appropriateness of the diagnostic well provided? All these questions rise from the fact that there were no ICD 10 codes provided. Research shows that it is recommended to select the codes that </w:t>
      </w:r>
      <w:r w:rsidR="00DC164D" w:rsidRPr="00D22D3E">
        <w:rPr>
          <w:rFonts w:ascii="Times New Roman" w:hAnsi="Times New Roman" w:cs="Times New Roman"/>
          <w:sz w:val="24"/>
          <w:szCs w:val="24"/>
        </w:rPr>
        <w:t>are best representing the furnished services during the visit, and this is when one is billing for a patient’s visit</w:t>
      </w:r>
      <w:r w:rsidR="00D22D3E" w:rsidRPr="00D22D3E">
        <w:rPr>
          <w:rFonts w:ascii="Times New Roman" w:hAnsi="Times New Roman" w:cs="Times New Roman"/>
          <w:sz w:val="24"/>
          <w:szCs w:val="24"/>
        </w:rPr>
        <w:t xml:space="preserve"> </w:t>
      </w:r>
      <w:r w:rsidR="00D22D3E" w:rsidRPr="00D22D3E">
        <w:rPr>
          <w:rFonts w:ascii="Times New Roman" w:hAnsi="Times New Roman" w:cs="Times New Roman"/>
          <w:sz w:val="24"/>
          <w:szCs w:val="24"/>
        </w:rPr>
        <w:t xml:space="preserve">(Centers for Medicare &amp; Medicaid Services, 1997). </w:t>
      </w:r>
      <w:r w:rsidR="00DC164D" w:rsidRPr="00D22D3E">
        <w:rPr>
          <w:rFonts w:ascii="Times New Roman" w:hAnsi="Times New Roman" w:cs="Times New Roman"/>
          <w:sz w:val="24"/>
          <w:szCs w:val="24"/>
        </w:rPr>
        <w:t xml:space="preserve">I wonder if a billing specialist reviewed the service provider’s documentation before the claim was submitted to pay because a reviewer must have helped in selecting the codes that best reflect the furnished services. </w:t>
      </w:r>
    </w:p>
    <w:p w14:paraId="5A7E3B94" w14:textId="3945E2BA" w:rsidR="00D536CE" w:rsidRPr="00D22D3E" w:rsidRDefault="00D536CE" w:rsidP="00D22D3E">
      <w:pPr>
        <w:spacing w:line="360" w:lineRule="auto"/>
        <w:jc w:val="both"/>
        <w:rPr>
          <w:rFonts w:ascii="Times New Roman" w:hAnsi="Times New Roman" w:cs="Times New Roman"/>
          <w:sz w:val="24"/>
          <w:szCs w:val="24"/>
        </w:rPr>
      </w:pPr>
      <w:r w:rsidRPr="00D22D3E">
        <w:rPr>
          <w:rFonts w:ascii="Times New Roman" w:hAnsi="Times New Roman" w:cs="Times New Roman"/>
          <w:sz w:val="24"/>
          <w:szCs w:val="24"/>
        </w:rPr>
        <w:t>I do not think that the listed conditions in the assessment section were reasonably supported by the history because the provider did not ensure that the claim submitted accurately reflected the provided services. With no ICD 10</w:t>
      </w:r>
      <w:r w:rsidRPr="00D22D3E">
        <w:rPr>
          <w:rFonts w:ascii="Times New Roman" w:hAnsi="Times New Roman" w:cs="Times New Roman"/>
          <w:sz w:val="24"/>
          <w:szCs w:val="24"/>
        </w:rPr>
        <w:tab/>
        <w:t xml:space="preserve"> codes listed, the provider failed in ensuring that the medical record supported the reported service levels. Rather, the provider just used a volume documentation in determining the significant service level to bill. Research suggest that services should meet the essential medical necessity needs found in the statute, manuals, regulations, and the significant medical necessity criteria as defined by the National </w:t>
      </w:r>
      <w:r w:rsidR="00C06C2C" w:rsidRPr="00D22D3E">
        <w:rPr>
          <w:rFonts w:ascii="Times New Roman" w:hAnsi="Times New Roman" w:cs="Times New Roman"/>
          <w:sz w:val="24"/>
          <w:szCs w:val="24"/>
        </w:rPr>
        <w:t>Coverage</w:t>
      </w:r>
      <w:r w:rsidRPr="00D22D3E">
        <w:rPr>
          <w:rFonts w:ascii="Times New Roman" w:hAnsi="Times New Roman" w:cs="Times New Roman"/>
          <w:sz w:val="24"/>
          <w:szCs w:val="24"/>
        </w:rPr>
        <w:t xml:space="preserve"> Determinations</w:t>
      </w:r>
      <w:r w:rsidR="00C06C2C" w:rsidRPr="00D22D3E">
        <w:rPr>
          <w:rFonts w:ascii="Times New Roman" w:hAnsi="Times New Roman" w:cs="Times New Roman"/>
          <w:sz w:val="24"/>
          <w:szCs w:val="24"/>
        </w:rPr>
        <w:t>, not forgetting the Local Coverage Determinations</w:t>
      </w:r>
      <w:r w:rsidR="00D22D3E" w:rsidRPr="00D22D3E">
        <w:rPr>
          <w:rFonts w:ascii="Times New Roman" w:hAnsi="Times New Roman" w:cs="Times New Roman"/>
          <w:sz w:val="24"/>
          <w:szCs w:val="24"/>
        </w:rPr>
        <w:t xml:space="preserve"> </w:t>
      </w:r>
      <w:r w:rsidR="00D22D3E" w:rsidRPr="00D22D3E">
        <w:rPr>
          <w:rFonts w:ascii="Times New Roman" w:hAnsi="Times New Roman" w:cs="Times New Roman"/>
          <w:sz w:val="24"/>
          <w:szCs w:val="24"/>
        </w:rPr>
        <w:t xml:space="preserve">(Centers for Medicare &amp; Medicaid Services, 1997). </w:t>
      </w:r>
      <w:r w:rsidR="00C06C2C" w:rsidRPr="00D22D3E">
        <w:rPr>
          <w:rFonts w:ascii="Times New Roman" w:hAnsi="Times New Roman" w:cs="Times New Roman"/>
          <w:sz w:val="24"/>
          <w:szCs w:val="24"/>
        </w:rPr>
        <w:t xml:space="preserve">Therefore, each service billed must include the specific sign, symptom, or the patient complaint making the service necessary and reasonable. </w:t>
      </w:r>
    </w:p>
    <w:p w14:paraId="5BB2AAAD" w14:textId="1714D8BA" w:rsidR="00C06C2C" w:rsidRPr="00D22D3E" w:rsidRDefault="009D6B3C" w:rsidP="00D22D3E">
      <w:pPr>
        <w:spacing w:line="360" w:lineRule="auto"/>
        <w:jc w:val="both"/>
        <w:rPr>
          <w:rFonts w:ascii="Times New Roman" w:hAnsi="Times New Roman" w:cs="Times New Roman"/>
          <w:sz w:val="24"/>
          <w:szCs w:val="24"/>
        </w:rPr>
      </w:pPr>
      <w:r w:rsidRPr="00D22D3E">
        <w:rPr>
          <w:rFonts w:ascii="Times New Roman" w:hAnsi="Times New Roman" w:cs="Times New Roman"/>
          <w:sz w:val="24"/>
          <w:szCs w:val="24"/>
        </w:rPr>
        <w:t>ICD-10 codes are a set of codes used by providers when reporting medical diagnosis across all the furnished services’ claims in the US. Therefore, below is a list of the corresponding ICD-10 codes with the assessments made:</w:t>
      </w:r>
    </w:p>
    <w:p w14:paraId="1355D58D" w14:textId="04B653FC" w:rsidR="009D6B3C" w:rsidRPr="00D22D3E" w:rsidRDefault="009D6B3C" w:rsidP="00D22D3E">
      <w:pPr>
        <w:pStyle w:val="NormalWeb"/>
        <w:spacing w:before="0" w:beforeAutospacing="0" w:afterAutospacing="0" w:line="360" w:lineRule="auto"/>
        <w:jc w:val="both"/>
      </w:pPr>
      <w:r w:rsidRPr="00D22D3E">
        <w:t xml:space="preserve">Moderate persistent asthma with (acute) exacerbation: </w:t>
      </w:r>
      <w:r w:rsidRPr="00D22D3E">
        <w:rPr>
          <w:u w:val="single"/>
        </w:rPr>
        <w:t>J45.41</w:t>
      </w:r>
    </w:p>
    <w:p w14:paraId="5EEE30AD" w14:textId="4C6206C0" w:rsidR="009D6B3C" w:rsidRPr="00D22D3E" w:rsidRDefault="009D6B3C" w:rsidP="00D22D3E">
      <w:pPr>
        <w:pStyle w:val="NormalWeb"/>
        <w:spacing w:before="0" w:beforeAutospacing="0" w:afterAutospacing="0" w:line="360" w:lineRule="auto"/>
        <w:jc w:val="both"/>
      </w:pPr>
      <w:r w:rsidRPr="00D22D3E">
        <w:lastRenderedPageBreak/>
        <w:t xml:space="preserve">Pneumonia, unspecified organism: </w:t>
      </w:r>
      <w:r w:rsidRPr="00D22D3E">
        <w:rPr>
          <w:u w:val="single"/>
        </w:rPr>
        <w:t>J18.9</w:t>
      </w:r>
    </w:p>
    <w:p w14:paraId="72CE4E5C" w14:textId="1FDE2DCA" w:rsidR="009D6B3C" w:rsidRPr="00D22D3E" w:rsidRDefault="009D6B3C" w:rsidP="00D22D3E">
      <w:pPr>
        <w:pStyle w:val="NormalWeb"/>
        <w:spacing w:before="0" w:beforeAutospacing="0" w:afterAutospacing="0" w:line="360" w:lineRule="auto"/>
        <w:jc w:val="both"/>
      </w:pPr>
      <w:r w:rsidRPr="00D22D3E">
        <w:t xml:space="preserve">Essential (primary) hypertension: </w:t>
      </w:r>
      <w:r w:rsidRPr="00D22D3E">
        <w:rPr>
          <w:u w:val="single"/>
        </w:rPr>
        <w:t>R</w:t>
      </w:r>
      <w:r w:rsidR="00914A46" w:rsidRPr="00D22D3E">
        <w:rPr>
          <w:u w:val="single"/>
        </w:rPr>
        <w:t>03.0</w:t>
      </w:r>
    </w:p>
    <w:p w14:paraId="6FA126BD" w14:textId="118C169C" w:rsidR="009D6B3C" w:rsidRPr="00D22D3E" w:rsidRDefault="009D6B3C" w:rsidP="00D22D3E">
      <w:pPr>
        <w:pStyle w:val="NormalWeb"/>
        <w:spacing w:before="0" w:beforeAutospacing="0" w:afterAutospacing="0" w:line="360" w:lineRule="auto"/>
        <w:jc w:val="both"/>
      </w:pPr>
      <w:r w:rsidRPr="00D22D3E">
        <w:rPr>
          <w:rStyle w:val="mceitemhiddenspellword"/>
        </w:rPr>
        <w:t>Hyperlipidemia</w:t>
      </w:r>
      <w:r w:rsidRPr="00D22D3E">
        <w:t>, unspecified</w:t>
      </w:r>
      <w:r w:rsidR="00914A46" w:rsidRPr="00D22D3E">
        <w:t xml:space="preserve">: </w:t>
      </w:r>
      <w:r w:rsidR="00914A46" w:rsidRPr="00D22D3E">
        <w:rPr>
          <w:u w:val="single"/>
        </w:rPr>
        <w:t>E78.5</w:t>
      </w:r>
    </w:p>
    <w:p w14:paraId="15CB10E5" w14:textId="473BC41D" w:rsidR="009D6B3C" w:rsidRPr="00D22D3E" w:rsidRDefault="009D6B3C" w:rsidP="00D22D3E">
      <w:pPr>
        <w:spacing w:line="360" w:lineRule="auto"/>
        <w:jc w:val="both"/>
        <w:rPr>
          <w:rFonts w:ascii="Times New Roman" w:hAnsi="Times New Roman" w:cs="Times New Roman"/>
          <w:sz w:val="24"/>
          <w:szCs w:val="24"/>
          <w:u w:val="single"/>
        </w:rPr>
      </w:pPr>
      <w:r w:rsidRPr="00D22D3E">
        <w:rPr>
          <w:rFonts w:ascii="Times New Roman" w:hAnsi="Times New Roman" w:cs="Times New Roman"/>
          <w:sz w:val="24"/>
          <w:szCs w:val="24"/>
        </w:rPr>
        <w:t xml:space="preserve">Obesity: </w:t>
      </w:r>
      <w:r w:rsidR="00914A46" w:rsidRPr="00D22D3E">
        <w:rPr>
          <w:rFonts w:ascii="Times New Roman" w:hAnsi="Times New Roman" w:cs="Times New Roman"/>
          <w:sz w:val="24"/>
          <w:szCs w:val="24"/>
          <w:u w:val="single"/>
        </w:rPr>
        <w:t>E66</w:t>
      </w:r>
    </w:p>
    <w:p w14:paraId="5ADF737C" w14:textId="07AEC905" w:rsidR="00914A46" w:rsidRPr="00D22D3E" w:rsidRDefault="00914A46" w:rsidP="00D22D3E">
      <w:pPr>
        <w:spacing w:line="360" w:lineRule="auto"/>
        <w:jc w:val="both"/>
        <w:rPr>
          <w:rFonts w:ascii="Times New Roman" w:hAnsi="Times New Roman" w:cs="Times New Roman"/>
          <w:sz w:val="24"/>
          <w:szCs w:val="24"/>
        </w:rPr>
      </w:pPr>
      <w:r w:rsidRPr="00D22D3E">
        <w:rPr>
          <w:rFonts w:ascii="Times New Roman" w:hAnsi="Times New Roman" w:cs="Times New Roman"/>
          <w:sz w:val="24"/>
          <w:szCs w:val="24"/>
        </w:rPr>
        <w:t>I do not think that it will be appropriate to include the ICD-10 Code for pneumonia when billing for such a visit because the ICD-10 Code J18 remains to be a non-billable code and coding such a type of diagnosis needs one to use one among the five adult codes of J18 describing such a diagnosis in detail</w:t>
      </w:r>
      <w:r w:rsidR="002D0BDB" w:rsidRPr="00D22D3E">
        <w:rPr>
          <w:rFonts w:ascii="Times New Roman" w:hAnsi="Times New Roman" w:cs="Times New Roman"/>
          <w:sz w:val="24"/>
          <w:szCs w:val="24"/>
        </w:rPr>
        <w:t xml:space="preserve"> </w:t>
      </w:r>
      <w:r w:rsidR="002D0BDB" w:rsidRPr="00D22D3E">
        <w:rPr>
          <w:rFonts w:ascii="Times New Roman" w:hAnsi="Times New Roman" w:cs="Times New Roman"/>
          <w:sz w:val="24"/>
          <w:szCs w:val="24"/>
        </w:rPr>
        <w:t>(</w:t>
      </w:r>
      <w:r w:rsidR="002D0BDB" w:rsidRPr="00D22D3E">
        <w:rPr>
          <w:rFonts w:ascii="Times New Roman" w:hAnsi="Times New Roman" w:cs="Times New Roman"/>
          <w:color w:val="000000" w:themeColor="text1"/>
          <w:sz w:val="24"/>
          <w:szCs w:val="24"/>
        </w:rPr>
        <w:t>American Medical Association, 2019).</w:t>
      </w:r>
      <w:r w:rsidRPr="00D22D3E">
        <w:rPr>
          <w:rFonts w:ascii="Times New Roman" w:hAnsi="Times New Roman" w:cs="Times New Roman"/>
          <w:sz w:val="24"/>
          <w:szCs w:val="24"/>
        </w:rPr>
        <w:t xml:space="preserve"> </w:t>
      </w:r>
    </w:p>
    <w:p w14:paraId="3FCB5559" w14:textId="2049E5DF" w:rsidR="009D6B3C" w:rsidRPr="00D22D3E" w:rsidRDefault="00B26D5E" w:rsidP="00D22D3E">
      <w:pPr>
        <w:spacing w:line="360" w:lineRule="auto"/>
        <w:jc w:val="both"/>
        <w:rPr>
          <w:rFonts w:ascii="Times New Roman" w:hAnsi="Times New Roman" w:cs="Times New Roman"/>
          <w:sz w:val="24"/>
          <w:szCs w:val="24"/>
        </w:rPr>
      </w:pPr>
      <w:r w:rsidRPr="00D22D3E">
        <w:rPr>
          <w:rFonts w:ascii="Times New Roman" w:hAnsi="Times New Roman" w:cs="Times New Roman"/>
          <w:sz w:val="24"/>
          <w:szCs w:val="24"/>
        </w:rPr>
        <w:t>Given the listed assessments, I do not think if the plan was reasonable because I noticed that everything was ruined from the beginning of the medical documentation. One of the significant standards requirements for a medical documentation is the Chief Complaint (CC) as the reason for the visit, as stated in the words of the patient</w:t>
      </w:r>
      <w:r w:rsidR="002D0BDB" w:rsidRPr="00D22D3E">
        <w:rPr>
          <w:rFonts w:ascii="Times New Roman" w:hAnsi="Times New Roman" w:cs="Times New Roman"/>
          <w:sz w:val="24"/>
          <w:szCs w:val="24"/>
        </w:rPr>
        <w:t xml:space="preserve"> </w:t>
      </w:r>
      <w:r w:rsidR="002D0BDB" w:rsidRPr="00D22D3E">
        <w:rPr>
          <w:rFonts w:ascii="Times New Roman" w:hAnsi="Times New Roman" w:cs="Times New Roman"/>
          <w:sz w:val="24"/>
          <w:szCs w:val="24"/>
        </w:rPr>
        <w:t>(</w:t>
      </w:r>
      <w:r w:rsidR="002D0BDB" w:rsidRPr="00D22D3E">
        <w:rPr>
          <w:rFonts w:ascii="Times New Roman" w:hAnsi="Times New Roman" w:cs="Times New Roman"/>
          <w:color w:val="000000" w:themeColor="text1"/>
          <w:sz w:val="24"/>
          <w:szCs w:val="24"/>
        </w:rPr>
        <w:t>American Medical Association, 2019).</w:t>
      </w:r>
      <w:r w:rsidRPr="00D22D3E">
        <w:rPr>
          <w:rFonts w:ascii="Times New Roman" w:hAnsi="Times New Roman" w:cs="Times New Roman"/>
          <w:sz w:val="24"/>
          <w:szCs w:val="24"/>
        </w:rPr>
        <w:t xml:space="preserve">Regardless of the type of visit, the encounter should have included reasonable CC by validating the CC with reference to a significant symptom or condition. For example, the CC should have stated that Ms. Smith complained of chest pains. </w:t>
      </w:r>
    </w:p>
    <w:p w14:paraId="12E7899A" w14:textId="6753DCDB" w:rsidR="00B26D5E" w:rsidRPr="00D22D3E" w:rsidRDefault="00142821" w:rsidP="00D22D3E">
      <w:pPr>
        <w:spacing w:line="360" w:lineRule="auto"/>
        <w:jc w:val="both"/>
        <w:rPr>
          <w:rFonts w:ascii="Times New Roman" w:hAnsi="Times New Roman" w:cs="Times New Roman"/>
          <w:sz w:val="24"/>
          <w:szCs w:val="24"/>
        </w:rPr>
      </w:pPr>
      <w:r w:rsidRPr="00D22D3E">
        <w:rPr>
          <w:rFonts w:ascii="Times New Roman" w:hAnsi="Times New Roman" w:cs="Times New Roman"/>
          <w:sz w:val="24"/>
          <w:szCs w:val="24"/>
        </w:rPr>
        <w:t>For clinicians or service providers to choose the essential patient education strategies, they need to first understand the unique patient needs. In this case, there are three patient education strategies that could ensure that Ms. Smith is knowledgeable about her healthcare to spark her activation. These strategies include: 1) Utilizing patient teach-back, 2) providing educational materials like analogies, graphics, and one-on-one teaching in the patient preferred formats, and 3) leaning on health technology</w:t>
      </w:r>
      <w:r w:rsidR="002D0BDB" w:rsidRPr="00D22D3E">
        <w:rPr>
          <w:rFonts w:ascii="Times New Roman" w:hAnsi="Times New Roman" w:cs="Times New Roman"/>
          <w:sz w:val="24"/>
          <w:szCs w:val="24"/>
        </w:rPr>
        <w:t xml:space="preserve"> </w:t>
      </w:r>
      <w:r w:rsidR="002D0BDB" w:rsidRPr="00D22D3E">
        <w:rPr>
          <w:rFonts w:ascii="Times New Roman" w:hAnsi="Times New Roman" w:cs="Times New Roman"/>
          <w:sz w:val="24"/>
          <w:szCs w:val="24"/>
        </w:rPr>
        <w:t>(</w:t>
      </w:r>
      <w:r w:rsidR="002D0BDB" w:rsidRPr="00D22D3E">
        <w:rPr>
          <w:rFonts w:ascii="Times New Roman" w:hAnsi="Times New Roman" w:cs="Times New Roman"/>
          <w:color w:val="000000" w:themeColor="text1"/>
          <w:sz w:val="24"/>
          <w:szCs w:val="24"/>
        </w:rPr>
        <w:t>American Medical Association, 2019).</w:t>
      </w:r>
    </w:p>
    <w:p w14:paraId="2E9C4BBF" w14:textId="621B31C5" w:rsidR="00B26D5E" w:rsidRPr="00D22D3E" w:rsidRDefault="00C2427C" w:rsidP="00D22D3E">
      <w:pPr>
        <w:spacing w:line="360" w:lineRule="auto"/>
        <w:jc w:val="both"/>
        <w:rPr>
          <w:rFonts w:ascii="Times New Roman" w:hAnsi="Times New Roman" w:cs="Times New Roman"/>
          <w:sz w:val="24"/>
          <w:szCs w:val="24"/>
        </w:rPr>
      </w:pPr>
      <w:r w:rsidRPr="00D22D3E">
        <w:rPr>
          <w:rFonts w:ascii="Times New Roman" w:hAnsi="Times New Roman" w:cs="Times New Roman"/>
          <w:sz w:val="24"/>
          <w:szCs w:val="24"/>
        </w:rPr>
        <w:t>With much said, below is the list of health promotion recommendations from the AHRQ based on age/gender/conditions: 1) risk assessment, 2) screening tests, 3) timing of screening, and 4) interventions</w:t>
      </w:r>
      <w:r w:rsidR="002D0BDB" w:rsidRPr="00D22D3E">
        <w:rPr>
          <w:rFonts w:ascii="Times New Roman" w:hAnsi="Times New Roman" w:cs="Times New Roman"/>
          <w:sz w:val="24"/>
          <w:szCs w:val="24"/>
        </w:rPr>
        <w:t xml:space="preserve"> (</w:t>
      </w:r>
      <w:r w:rsidR="002D0BDB" w:rsidRPr="00D22D3E">
        <w:rPr>
          <w:rFonts w:ascii="Times New Roman" w:hAnsi="Times New Roman" w:cs="Times New Roman"/>
          <w:color w:val="000000" w:themeColor="text1"/>
          <w:sz w:val="24"/>
          <w:szCs w:val="24"/>
        </w:rPr>
        <w:t>American Medical Association,</w:t>
      </w:r>
      <w:r w:rsidR="002D0BDB" w:rsidRPr="00D22D3E">
        <w:rPr>
          <w:rFonts w:ascii="Times New Roman" w:hAnsi="Times New Roman" w:cs="Times New Roman"/>
          <w:color w:val="000000" w:themeColor="text1"/>
          <w:sz w:val="24"/>
          <w:szCs w:val="24"/>
        </w:rPr>
        <w:t xml:space="preserve"> </w:t>
      </w:r>
      <w:r w:rsidR="002D0BDB" w:rsidRPr="00D22D3E">
        <w:rPr>
          <w:rFonts w:ascii="Times New Roman" w:hAnsi="Times New Roman" w:cs="Times New Roman"/>
          <w:color w:val="000000" w:themeColor="text1"/>
          <w:sz w:val="24"/>
          <w:szCs w:val="24"/>
        </w:rPr>
        <w:t>2019).</w:t>
      </w:r>
    </w:p>
    <w:p w14:paraId="3A311895" w14:textId="77777777" w:rsidR="00D22D3E" w:rsidRDefault="00D22D3E" w:rsidP="00D22D3E">
      <w:pPr>
        <w:spacing w:line="360" w:lineRule="auto"/>
        <w:rPr>
          <w:rFonts w:ascii="Times New Roman" w:hAnsi="Times New Roman" w:cs="Times New Roman"/>
          <w:b/>
          <w:bCs/>
          <w:sz w:val="24"/>
          <w:szCs w:val="24"/>
        </w:rPr>
      </w:pPr>
    </w:p>
    <w:p w14:paraId="037B9458" w14:textId="77777777" w:rsidR="00D22D3E" w:rsidRDefault="00D22D3E" w:rsidP="00D22D3E">
      <w:pPr>
        <w:spacing w:line="360" w:lineRule="auto"/>
        <w:rPr>
          <w:rFonts w:ascii="Times New Roman" w:hAnsi="Times New Roman" w:cs="Times New Roman"/>
          <w:b/>
          <w:bCs/>
          <w:sz w:val="24"/>
          <w:szCs w:val="24"/>
        </w:rPr>
      </w:pPr>
    </w:p>
    <w:p w14:paraId="2EB39B66" w14:textId="77777777" w:rsidR="00D22D3E" w:rsidRDefault="00D22D3E" w:rsidP="00D22D3E">
      <w:pPr>
        <w:spacing w:line="360" w:lineRule="auto"/>
        <w:rPr>
          <w:rFonts w:ascii="Times New Roman" w:hAnsi="Times New Roman" w:cs="Times New Roman"/>
          <w:b/>
          <w:bCs/>
          <w:sz w:val="24"/>
          <w:szCs w:val="24"/>
        </w:rPr>
      </w:pPr>
    </w:p>
    <w:p w14:paraId="25C749C4" w14:textId="36F6A20D" w:rsidR="002D0BDB" w:rsidRPr="00D22D3E" w:rsidRDefault="002D0BDB" w:rsidP="00D22D3E">
      <w:pPr>
        <w:spacing w:line="360" w:lineRule="auto"/>
        <w:jc w:val="center"/>
        <w:rPr>
          <w:rFonts w:ascii="Times New Roman" w:hAnsi="Times New Roman" w:cs="Times New Roman"/>
          <w:b/>
          <w:bCs/>
          <w:sz w:val="24"/>
          <w:szCs w:val="24"/>
        </w:rPr>
      </w:pPr>
      <w:r w:rsidRPr="00D22D3E">
        <w:rPr>
          <w:rFonts w:ascii="Times New Roman" w:hAnsi="Times New Roman" w:cs="Times New Roman"/>
          <w:b/>
          <w:bCs/>
          <w:sz w:val="24"/>
          <w:szCs w:val="24"/>
        </w:rPr>
        <w:lastRenderedPageBreak/>
        <w:t>References</w:t>
      </w:r>
    </w:p>
    <w:p w14:paraId="46291BA1" w14:textId="339C3F3D" w:rsidR="002D0BDB" w:rsidRPr="00D22D3E" w:rsidRDefault="002D0BDB" w:rsidP="00D22D3E">
      <w:pPr>
        <w:spacing w:line="360" w:lineRule="auto"/>
        <w:rPr>
          <w:rFonts w:ascii="Times New Roman" w:hAnsi="Times New Roman" w:cs="Times New Roman"/>
          <w:color w:val="000000" w:themeColor="text1"/>
          <w:sz w:val="24"/>
          <w:szCs w:val="24"/>
        </w:rPr>
      </w:pPr>
      <w:r w:rsidRPr="00D22D3E">
        <w:rPr>
          <w:rFonts w:ascii="Times New Roman" w:hAnsi="Times New Roman" w:cs="Times New Roman"/>
          <w:color w:val="000000" w:themeColor="text1"/>
          <w:sz w:val="24"/>
          <w:szCs w:val="24"/>
        </w:rPr>
        <w:t xml:space="preserve">American Medical Association, (2019). Evaluation and Management Services Guide. Retrieved from: </w:t>
      </w:r>
      <w:hyperlink r:id="rId6" w:history="1">
        <w:r w:rsidRPr="00D22D3E">
          <w:rPr>
            <w:rStyle w:val="Hyperlink"/>
            <w:rFonts w:ascii="Times New Roman" w:hAnsi="Times New Roman" w:cs="Times New Roman"/>
            <w:color w:val="000000" w:themeColor="text1"/>
            <w:sz w:val="24"/>
            <w:szCs w:val="24"/>
            <w:u w:val="none"/>
          </w:rPr>
          <w:t>https://www.cms.gov/outreach-and-education/medicare-learning-network-mln/mlnproducts/downloads/eval-mgmt-serv-guide-icn006764.pdf</w:t>
        </w:r>
      </w:hyperlink>
    </w:p>
    <w:p w14:paraId="72AD440E" w14:textId="0539C578" w:rsidR="002D0BDB" w:rsidRPr="00D22D3E" w:rsidRDefault="002D0BDB" w:rsidP="00D22D3E">
      <w:pPr>
        <w:spacing w:line="360" w:lineRule="auto"/>
        <w:rPr>
          <w:rFonts w:ascii="Times New Roman" w:hAnsi="Times New Roman" w:cs="Times New Roman"/>
          <w:b/>
          <w:bCs/>
          <w:color w:val="000000" w:themeColor="text1"/>
          <w:sz w:val="24"/>
          <w:szCs w:val="24"/>
        </w:rPr>
      </w:pPr>
      <w:hyperlink r:id="rId7" w:history="1">
        <w:r w:rsidRPr="00D22D3E">
          <w:rPr>
            <w:rStyle w:val="Hyperlink"/>
            <w:rFonts w:ascii="Times New Roman" w:hAnsi="Times New Roman" w:cs="Times New Roman"/>
            <w:color w:val="000000" w:themeColor="text1"/>
            <w:sz w:val="24"/>
            <w:szCs w:val="24"/>
            <w:u w:val="none"/>
            <w:shd w:val="clear" w:color="auto" w:fill="FFFFFF"/>
          </w:rPr>
          <w:t xml:space="preserve">Centers for Medicare &amp; Medicaid Services. </w:t>
        </w:r>
        <w:r w:rsidRPr="00D22D3E">
          <w:rPr>
            <w:rStyle w:val="Hyperlink"/>
            <w:rFonts w:ascii="Times New Roman" w:hAnsi="Times New Roman" w:cs="Times New Roman"/>
            <w:color w:val="000000" w:themeColor="text1"/>
            <w:sz w:val="24"/>
            <w:szCs w:val="24"/>
            <w:u w:val="none"/>
            <w:shd w:val="clear" w:color="auto" w:fill="FFFFFF"/>
          </w:rPr>
          <w:t>(</w:t>
        </w:r>
        <w:r w:rsidRPr="00D22D3E">
          <w:rPr>
            <w:rStyle w:val="Hyperlink"/>
            <w:rFonts w:ascii="Times New Roman" w:hAnsi="Times New Roman" w:cs="Times New Roman"/>
            <w:color w:val="000000" w:themeColor="text1"/>
            <w:sz w:val="24"/>
            <w:szCs w:val="24"/>
            <w:u w:val="none"/>
            <w:shd w:val="clear" w:color="auto" w:fill="FFFFFF"/>
          </w:rPr>
          <w:t>1997</w:t>
        </w:r>
        <w:r w:rsidRPr="00D22D3E">
          <w:rPr>
            <w:rStyle w:val="Hyperlink"/>
            <w:rFonts w:ascii="Times New Roman" w:hAnsi="Times New Roman" w:cs="Times New Roman"/>
            <w:color w:val="000000" w:themeColor="text1"/>
            <w:sz w:val="24"/>
            <w:szCs w:val="24"/>
            <w:u w:val="none"/>
            <w:shd w:val="clear" w:color="auto" w:fill="FFFFFF"/>
          </w:rPr>
          <w:t>)</w:t>
        </w:r>
        <w:r w:rsidRPr="00D22D3E">
          <w:rPr>
            <w:rStyle w:val="Hyperlink"/>
            <w:rFonts w:ascii="Times New Roman" w:hAnsi="Times New Roman" w:cs="Times New Roman"/>
            <w:color w:val="000000" w:themeColor="text1"/>
            <w:sz w:val="24"/>
            <w:szCs w:val="24"/>
            <w:u w:val="none"/>
            <w:shd w:val="clear" w:color="auto" w:fill="FFFFFF"/>
          </w:rPr>
          <w:t xml:space="preserve"> Documentation Guidelines for Evaluation &amp; Management Services. CMS website. Available at: http://www.cms.hhs.gov/MLNProducts/Downloads/MASTER1.pdf. Accessed </w:t>
        </w:r>
        <w:r w:rsidRPr="00D22D3E">
          <w:rPr>
            <w:rStyle w:val="Hyperlink"/>
            <w:rFonts w:ascii="Times New Roman" w:hAnsi="Times New Roman" w:cs="Times New Roman"/>
            <w:color w:val="000000" w:themeColor="text1"/>
            <w:sz w:val="24"/>
            <w:szCs w:val="24"/>
            <w:u w:val="none"/>
            <w:shd w:val="clear" w:color="auto" w:fill="FFFFFF"/>
          </w:rPr>
          <w:t>April</w:t>
        </w:r>
        <w:r w:rsidRPr="00D22D3E">
          <w:rPr>
            <w:rStyle w:val="Hyperlink"/>
            <w:rFonts w:ascii="Times New Roman" w:hAnsi="Times New Roman" w:cs="Times New Roman"/>
            <w:color w:val="000000" w:themeColor="text1"/>
            <w:sz w:val="24"/>
            <w:szCs w:val="24"/>
            <w:u w:val="none"/>
            <w:shd w:val="clear" w:color="auto" w:fill="FFFFFF"/>
          </w:rPr>
          <w:t xml:space="preserve"> </w:t>
        </w:r>
        <w:r w:rsidRPr="00D22D3E">
          <w:rPr>
            <w:rStyle w:val="Hyperlink"/>
            <w:rFonts w:ascii="Times New Roman" w:hAnsi="Times New Roman" w:cs="Times New Roman"/>
            <w:color w:val="000000" w:themeColor="text1"/>
            <w:sz w:val="24"/>
            <w:szCs w:val="24"/>
            <w:u w:val="none"/>
            <w:shd w:val="clear" w:color="auto" w:fill="FFFFFF"/>
          </w:rPr>
          <w:t>28</w:t>
        </w:r>
        <w:r w:rsidRPr="00D22D3E">
          <w:rPr>
            <w:rStyle w:val="Hyperlink"/>
            <w:rFonts w:ascii="Times New Roman" w:hAnsi="Times New Roman" w:cs="Times New Roman"/>
            <w:color w:val="000000" w:themeColor="text1"/>
            <w:sz w:val="24"/>
            <w:szCs w:val="24"/>
            <w:u w:val="none"/>
            <w:shd w:val="clear" w:color="auto" w:fill="FFFFFF"/>
          </w:rPr>
          <w:t>, 20</w:t>
        </w:r>
        <w:r w:rsidRPr="00D22D3E">
          <w:rPr>
            <w:rStyle w:val="Hyperlink"/>
            <w:rFonts w:ascii="Times New Roman" w:hAnsi="Times New Roman" w:cs="Times New Roman"/>
            <w:color w:val="000000" w:themeColor="text1"/>
            <w:sz w:val="24"/>
            <w:szCs w:val="24"/>
            <w:u w:val="none"/>
            <w:shd w:val="clear" w:color="auto" w:fill="FFFFFF"/>
          </w:rPr>
          <w:t>20</w:t>
        </w:r>
        <w:r w:rsidRPr="00D22D3E">
          <w:rPr>
            <w:rStyle w:val="Hyperlink"/>
            <w:rFonts w:ascii="Times New Roman" w:hAnsi="Times New Roman" w:cs="Times New Roman"/>
            <w:color w:val="000000" w:themeColor="text1"/>
            <w:sz w:val="24"/>
            <w:szCs w:val="24"/>
            <w:u w:val="none"/>
            <w:shd w:val="clear" w:color="auto" w:fill="FFFFFF"/>
          </w:rPr>
          <w:t>.</w:t>
        </w:r>
      </w:hyperlink>
    </w:p>
    <w:sectPr w:rsidR="002D0BDB" w:rsidRPr="00D22D3E" w:rsidSect="00D22D3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001E3" w14:textId="77777777" w:rsidR="0059586E" w:rsidRDefault="0059586E" w:rsidP="00D22D3E">
      <w:pPr>
        <w:spacing w:after="0" w:line="240" w:lineRule="auto"/>
      </w:pPr>
      <w:r>
        <w:separator/>
      </w:r>
    </w:p>
  </w:endnote>
  <w:endnote w:type="continuationSeparator" w:id="0">
    <w:p w14:paraId="1AFCD651" w14:textId="77777777" w:rsidR="0059586E" w:rsidRDefault="0059586E" w:rsidP="00D22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3A1AD" w14:textId="77777777" w:rsidR="0059586E" w:rsidRDefault="0059586E" w:rsidP="00D22D3E">
      <w:pPr>
        <w:spacing w:after="0" w:line="240" w:lineRule="auto"/>
      </w:pPr>
      <w:r>
        <w:separator/>
      </w:r>
    </w:p>
  </w:footnote>
  <w:footnote w:type="continuationSeparator" w:id="0">
    <w:p w14:paraId="6BFE2626" w14:textId="77777777" w:rsidR="0059586E" w:rsidRDefault="0059586E" w:rsidP="00D22D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74936" w14:textId="4F9B0A91" w:rsidR="00D22D3E" w:rsidRPr="00D22D3E" w:rsidRDefault="00D22D3E">
    <w:pPr>
      <w:pStyle w:val="Header"/>
      <w:jc w:val="right"/>
      <w:rPr>
        <w:rFonts w:ascii="Times New Roman" w:hAnsi="Times New Roman" w:cs="Times New Roman"/>
      </w:rPr>
    </w:pPr>
    <w:r w:rsidRPr="00D22D3E">
      <w:rPr>
        <w:rFonts w:ascii="Times New Roman" w:hAnsi="Times New Roman" w:cs="Times New Roman"/>
      </w:rPr>
      <w:t>Comprehensive H&amp;P Guideline</w:t>
    </w:r>
    <w:r w:rsidRPr="00D22D3E">
      <w:rPr>
        <w:rFonts w:ascii="Times New Roman" w:hAnsi="Times New Roman" w:cs="Times New Roman"/>
      </w:rPr>
      <w:tab/>
    </w:r>
    <w:r w:rsidRPr="00D22D3E">
      <w:rPr>
        <w:rFonts w:ascii="Times New Roman" w:hAnsi="Times New Roman" w:cs="Times New Roman"/>
      </w:rPr>
      <w:tab/>
    </w:r>
    <w:sdt>
      <w:sdtPr>
        <w:rPr>
          <w:rFonts w:ascii="Times New Roman" w:hAnsi="Times New Roman" w:cs="Times New Roman"/>
        </w:rPr>
        <w:id w:val="-1500111837"/>
        <w:docPartObj>
          <w:docPartGallery w:val="Page Numbers (Top of Page)"/>
          <w:docPartUnique/>
        </w:docPartObj>
      </w:sdtPr>
      <w:sdtEndPr>
        <w:rPr>
          <w:noProof/>
        </w:rPr>
      </w:sdtEndPr>
      <w:sdtContent>
        <w:r w:rsidRPr="00D22D3E">
          <w:rPr>
            <w:rFonts w:ascii="Times New Roman" w:hAnsi="Times New Roman" w:cs="Times New Roman"/>
          </w:rPr>
          <w:fldChar w:fldCharType="begin"/>
        </w:r>
        <w:r w:rsidRPr="00D22D3E">
          <w:rPr>
            <w:rFonts w:ascii="Times New Roman" w:hAnsi="Times New Roman" w:cs="Times New Roman"/>
          </w:rPr>
          <w:instrText xml:space="preserve"> PAGE   \* MERGEFORMAT </w:instrText>
        </w:r>
        <w:r w:rsidRPr="00D22D3E">
          <w:rPr>
            <w:rFonts w:ascii="Times New Roman" w:hAnsi="Times New Roman" w:cs="Times New Roman"/>
          </w:rPr>
          <w:fldChar w:fldCharType="separate"/>
        </w:r>
        <w:r w:rsidRPr="00D22D3E">
          <w:rPr>
            <w:rFonts w:ascii="Times New Roman" w:hAnsi="Times New Roman" w:cs="Times New Roman"/>
            <w:noProof/>
          </w:rPr>
          <w:t>2</w:t>
        </w:r>
        <w:r w:rsidRPr="00D22D3E">
          <w:rPr>
            <w:rFonts w:ascii="Times New Roman" w:hAnsi="Times New Roman" w:cs="Times New Roman"/>
            <w:noProof/>
          </w:rPr>
          <w:fldChar w:fldCharType="end"/>
        </w:r>
      </w:sdtContent>
    </w:sdt>
  </w:p>
  <w:p w14:paraId="08882079" w14:textId="77777777" w:rsidR="00D22D3E" w:rsidRDefault="00D22D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ED310" w14:textId="2DD43FF0" w:rsidR="00D22D3E" w:rsidRPr="00D22D3E" w:rsidRDefault="00D22D3E">
    <w:pPr>
      <w:pStyle w:val="Header"/>
      <w:rPr>
        <w:rFonts w:ascii="Times New Roman" w:hAnsi="Times New Roman" w:cs="Times New Roman"/>
      </w:rPr>
    </w:pPr>
    <w:r w:rsidRPr="00D22D3E">
      <w:rPr>
        <w:rFonts w:ascii="Times New Roman" w:hAnsi="Times New Roman" w:cs="Times New Roman"/>
      </w:rPr>
      <w:t>Running head: Comprehensive H&amp;P Guideline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AEA"/>
    <w:rsid w:val="00056BF8"/>
    <w:rsid w:val="00086194"/>
    <w:rsid w:val="00117980"/>
    <w:rsid w:val="00142821"/>
    <w:rsid w:val="00145C73"/>
    <w:rsid w:val="002D0BDB"/>
    <w:rsid w:val="00353875"/>
    <w:rsid w:val="003D16A1"/>
    <w:rsid w:val="0059586E"/>
    <w:rsid w:val="006513AF"/>
    <w:rsid w:val="00914A46"/>
    <w:rsid w:val="009C76BB"/>
    <w:rsid w:val="009D6B3C"/>
    <w:rsid w:val="00A839CD"/>
    <w:rsid w:val="00B26D5E"/>
    <w:rsid w:val="00B56DBC"/>
    <w:rsid w:val="00C06C2C"/>
    <w:rsid w:val="00C2427C"/>
    <w:rsid w:val="00D07AEA"/>
    <w:rsid w:val="00D22D3E"/>
    <w:rsid w:val="00D536CE"/>
    <w:rsid w:val="00DC164D"/>
    <w:rsid w:val="00F34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7A2AB"/>
  <w15:chartTrackingRefBased/>
  <w15:docId w15:val="{A7A71222-F723-47FD-9BAC-CB8EC014B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6B3C"/>
    <w:pPr>
      <w:spacing w:before="100" w:beforeAutospacing="1" w:after="100" w:afterAutospacing="1" w:line="240" w:lineRule="auto"/>
    </w:pPr>
    <w:rPr>
      <w:rFonts w:ascii="Times New Roman" w:hAnsi="Times New Roman" w:cs="Times New Roman"/>
      <w:sz w:val="24"/>
      <w:szCs w:val="24"/>
    </w:rPr>
  </w:style>
  <w:style w:type="character" w:customStyle="1" w:styleId="mceitemhiddenspellword">
    <w:name w:val="mceitemhiddenspellword"/>
    <w:basedOn w:val="DefaultParagraphFont"/>
    <w:rsid w:val="009D6B3C"/>
  </w:style>
  <w:style w:type="character" w:styleId="Hyperlink">
    <w:name w:val="Hyperlink"/>
    <w:basedOn w:val="DefaultParagraphFont"/>
    <w:uiPriority w:val="99"/>
    <w:unhideWhenUsed/>
    <w:rsid w:val="002D0BDB"/>
    <w:rPr>
      <w:color w:val="0000FF"/>
      <w:u w:val="single"/>
    </w:rPr>
  </w:style>
  <w:style w:type="character" w:styleId="UnresolvedMention">
    <w:name w:val="Unresolved Mention"/>
    <w:basedOn w:val="DefaultParagraphFont"/>
    <w:uiPriority w:val="99"/>
    <w:semiHidden/>
    <w:unhideWhenUsed/>
    <w:rsid w:val="002D0BDB"/>
    <w:rPr>
      <w:color w:val="605E5C"/>
      <w:shd w:val="clear" w:color="auto" w:fill="E1DFDD"/>
    </w:rPr>
  </w:style>
  <w:style w:type="paragraph" w:styleId="Header">
    <w:name w:val="header"/>
    <w:basedOn w:val="Normal"/>
    <w:link w:val="HeaderChar"/>
    <w:uiPriority w:val="99"/>
    <w:unhideWhenUsed/>
    <w:rsid w:val="00D22D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D3E"/>
  </w:style>
  <w:style w:type="paragraph" w:styleId="Footer">
    <w:name w:val="footer"/>
    <w:basedOn w:val="Normal"/>
    <w:link w:val="FooterChar"/>
    <w:uiPriority w:val="99"/>
    <w:unhideWhenUsed/>
    <w:rsid w:val="00D22D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00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enters%20for%20Medicare%20&amp;%20Medicaid%20Services.%20(1997)%20Documentation%20Guidelines%20for%20Evaluation%20&amp;%20Management%20Services.%20CMS%20website.%20Available%20at:%20http://www.cms.hhs.gov/MLNProducts/Downloads/MASTER1.pdf.%20Accessed%20April%2028,%2020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ms.gov/outreach-and-education/medicare-learning-network-mln/mlnproducts/downloads/eval-mgmt-serv-guide-icn006764.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5</Pages>
  <Words>1233</Words>
  <Characters>7031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2020-04-28T23:50:00Z</dcterms:created>
  <dcterms:modified xsi:type="dcterms:W3CDTF">2020-04-29T03:07:00Z</dcterms:modified>
</cp:coreProperties>
</file>